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52" w:rsidRDefault="00F67052" w:rsidP="00C64218">
      <w:pPr>
        <w:jc w:val="center"/>
        <w:rPr>
          <w:sz w:val="32"/>
          <w:szCs w:val="32"/>
          <w:u w:val="single"/>
        </w:rPr>
      </w:pPr>
      <w:r w:rsidRPr="00F54E3C">
        <w:rPr>
          <w:b/>
          <w:bCs/>
          <w:sz w:val="32"/>
          <w:szCs w:val="32"/>
        </w:rPr>
        <w:t>ISPCP Constituency</w:t>
      </w:r>
    </w:p>
    <w:p w:rsidR="00F67052" w:rsidRDefault="00F67052">
      <w:pPr>
        <w:rPr>
          <w:b/>
          <w:bCs/>
          <w:sz w:val="24"/>
          <w:szCs w:val="24"/>
        </w:rPr>
      </w:pPr>
    </w:p>
    <w:p w:rsidR="00F67052" w:rsidRDefault="00F67052">
      <w:pPr>
        <w:rPr>
          <w:b/>
          <w:bCs/>
          <w:sz w:val="24"/>
          <w:szCs w:val="24"/>
        </w:rPr>
      </w:pPr>
    </w:p>
    <w:p w:rsidR="00F67052" w:rsidRDefault="00F67052" w:rsidP="00D068DE">
      <w:pPr>
        <w:rPr>
          <w:b/>
          <w:bCs/>
          <w:sz w:val="24"/>
          <w:szCs w:val="24"/>
        </w:rPr>
      </w:pPr>
      <w:r w:rsidRPr="00F54E3C">
        <w:rPr>
          <w:b/>
          <w:bCs/>
          <w:sz w:val="24"/>
          <w:szCs w:val="24"/>
        </w:rPr>
        <w:t>The mission of the ISPCP Constituency</w:t>
      </w:r>
    </w:p>
    <w:p w:rsidR="00F67052" w:rsidRDefault="00F67052" w:rsidP="00D068DE">
      <w:pPr>
        <w:rPr>
          <w:sz w:val="32"/>
          <w:szCs w:val="32"/>
          <w:u w:val="single"/>
        </w:rPr>
      </w:pPr>
    </w:p>
    <w:p w:rsidR="00F67052" w:rsidRPr="00D321BC" w:rsidRDefault="00F67052" w:rsidP="00D068DE">
      <w:pPr>
        <w:pStyle w:val="Default"/>
        <w:jc w:val="both"/>
        <w:rPr>
          <w:rFonts w:ascii="Arial" w:hAnsi="Arial" w:cs="Arial"/>
          <w:sz w:val="20"/>
          <w:szCs w:val="20"/>
        </w:rPr>
      </w:pPr>
      <w:r w:rsidRPr="00D321BC">
        <w:rPr>
          <w:rFonts w:ascii="Arial" w:hAnsi="Arial" w:cs="Arial"/>
          <w:sz w:val="20"/>
          <w:szCs w:val="20"/>
        </w:rPr>
        <w:t>The Internet Service Providers and Connectivity Providers operate Internet backbone networks and/or provide access to Internet and related services to End Users.  They   are key players of the Internet. and have an essential role in its stability and development. As a consequence, they contribute toward fulfilling the aims and goals of ICANN.  Since the creation of ICANN, those players formed a constituency to bring their specific and unique expertise to ICANN.</w:t>
      </w:r>
    </w:p>
    <w:p w:rsidR="00F67052" w:rsidRDefault="00F67052" w:rsidP="00D068DE">
      <w:pPr>
        <w:pStyle w:val="Sansinterligne1"/>
        <w:jc w:val="both"/>
      </w:pPr>
    </w:p>
    <w:p w:rsidR="00F67052" w:rsidRDefault="00F67052" w:rsidP="00D068DE">
      <w:pPr>
        <w:pStyle w:val="Sansinterligne1"/>
        <w:jc w:val="both"/>
        <w:rPr>
          <w:sz w:val="20"/>
          <w:szCs w:val="20"/>
        </w:rPr>
      </w:pPr>
      <w:r w:rsidRPr="00D321BC">
        <w:rPr>
          <w:sz w:val="20"/>
          <w:szCs w:val="20"/>
        </w:rPr>
        <w:t xml:space="preserve">The ISPs and Connectivity Providers Constituency forms an integral part of the generic Name Supporting Organization (GNSO) assigned, according to ICANN Bylaws, Article XX, Section 5, as a representative member of the Commercial Stakeholders Group (CSG) in the Non-Contracted Parties House. The role of the ISPCP Constituency goes beyond this gNSO participation: it takes an active part in many Supporting Organizations, Advisory Committees, and Working Groups within ICANN’s diverse structure. </w:t>
      </w:r>
    </w:p>
    <w:p w:rsidR="00F67052" w:rsidRDefault="00F67052" w:rsidP="00D068DE">
      <w:pPr>
        <w:pStyle w:val="Sansinterligne1"/>
        <w:jc w:val="both"/>
        <w:rPr>
          <w:sz w:val="20"/>
          <w:szCs w:val="20"/>
        </w:rPr>
      </w:pPr>
    </w:p>
    <w:p w:rsidR="00F67052" w:rsidRPr="00D321BC" w:rsidRDefault="00F67052" w:rsidP="003E038A">
      <w:pPr>
        <w:pStyle w:val="Sansinterligne1"/>
        <w:jc w:val="both"/>
        <w:rPr>
          <w:sz w:val="20"/>
          <w:szCs w:val="20"/>
        </w:rPr>
      </w:pPr>
      <w:r w:rsidRPr="00D321BC">
        <w:rPr>
          <w:sz w:val="20"/>
          <w:szCs w:val="20"/>
        </w:rPr>
        <w:t>Among the numerous topics where they expressed the views of their community, one could mention:</w:t>
      </w:r>
    </w:p>
    <w:p w:rsidR="00F67052" w:rsidRPr="00D321BC" w:rsidRDefault="00F67052" w:rsidP="003E038A">
      <w:pPr>
        <w:pStyle w:val="Sansinterligne1"/>
        <w:numPr>
          <w:ilvl w:val="0"/>
          <w:numId w:val="16"/>
        </w:numPr>
        <w:jc w:val="both"/>
        <w:rPr>
          <w:sz w:val="20"/>
          <w:szCs w:val="20"/>
        </w:rPr>
      </w:pPr>
      <w:r w:rsidRPr="00D321BC">
        <w:rPr>
          <w:sz w:val="20"/>
          <w:szCs w:val="20"/>
        </w:rPr>
        <w:t>Whois policies,</w:t>
      </w:r>
    </w:p>
    <w:p w:rsidR="00F67052" w:rsidRPr="00D321BC" w:rsidRDefault="00F67052" w:rsidP="003E038A">
      <w:pPr>
        <w:pStyle w:val="Sansinterligne1"/>
        <w:numPr>
          <w:ilvl w:val="0"/>
          <w:numId w:val="16"/>
        </w:numPr>
        <w:jc w:val="both"/>
        <w:rPr>
          <w:sz w:val="20"/>
          <w:szCs w:val="20"/>
        </w:rPr>
      </w:pPr>
      <w:r w:rsidRPr="00D321BC">
        <w:rPr>
          <w:sz w:val="20"/>
          <w:szCs w:val="20"/>
        </w:rPr>
        <w:t>New gTLDs and their impact on the network,</w:t>
      </w:r>
    </w:p>
    <w:p w:rsidR="00F67052" w:rsidRPr="00D321BC" w:rsidRDefault="00F67052" w:rsidP="003E038A">
      <w:pPr>
        <w:pStyle w:val="Sansinterligne1"/>
        <w:numPr>
          <w:ilvl w:val="0"/>
          <w:numId w:val="16"/>
        </w:numPr>
        <w:jc w:val="both"/>
        <w:rPr>
          <w:sz w:val="20"/>
          <w:szCs w:val="20"/>
        </w:rPr>
      </w:pPr>
      <w:r w:rsidRPr="00D321BC">
        <w:rPr>
          <w:sz w:val="20"/>
          <w:szCs w:val="20"/>
        </w:rPr>
        <w:t>IP addressing,</w:t>
      </w:r>
    </w:p>
    <w:p w:rsidR="00F67052" w:rsidRPr="00D321BC" w:rsidRDefault="00F67052" w:rsidP="003E038A">
      <w:pPr>
        <w:pStyle w:val="Sansinterligne1"/>
        <w:numPr>
          <w:ilvl w:val="0"/>
          <w:numId w:val="16"/>
        </w:numPr>
        <w:jc w:val="both"/>
        <w:rPr>
          <w:sz w:val="20"/>
          <w:szCs w:val="20"/>
        </w:rPr>
      </w:pPr>
      <w:r w:rsidRPr="00D321BC">
        <w:rPr>
          <w:sz w:val="20"/>
          <w:szCs w:val="20"/>
        </w:rPr>
        <w:t>Institutional evolution of ICANN, notably the Affirmation of Commitments,</w:t>
      </w:r>
    </w:p>
    <w:p w:rsidR="00F67052" w:rsidRDefault="00F67052" w:rsidP="003E038A">
      <w:pPr>
        <w:pStyle w:val="Sansinterligne1"/>
        <w:jc w:val="both"/>
      </w:pPr>
    </w:p>
    <w:p w:rsidR="00F67052" w:rsidRPr="00D321BC" w:rsidRDefault="00F67052" w:rsidP="003E038A">
      <w:pPr>
        <w:pStyle w:val="Sansinterligne1"/>
        <w:jc w:val="both"/>
        <w:rPr>
          <w:sz w:val="20"/>
          <w:szCs w:val="20"/>
        </w:rPr>
      </w:pPr>
      <w:r w:rsidRPr="00D321BC">
        <w:rPr>
          <w:sz w:val="20"/>
          <w:szCs w:val="20"/>
        </w:rPr>
        <w:t xml:space="preserve">To summarize, the Constituency ensures that the views of Internet Service Providers and Connectivity Providers contribute toward fulfilling the aims and goals of ICANN.  The ISPCP actively participates in the work of ICANN to ensure that policy development guarantees and enhances the operational stability of the Internet and the needs and interests of ISP and connectivity providers.   The Constituency also cares about safeguarding the interests and concerns of the ISP and connectivity industry. The Constituency fulfills its roles and responsibilities while adhering to the relevant ICANN bylaws and Operating Procedures. </w:t>
      </w:r>
    </w:p>
    <w:p w:rsidR="00F67052" w:rsidRDefault="00F67052" w:rsidP="00D068DE">
      <w:pPr>
        <w:pStyle w:val="Sansinterligne1"/>
        <w:jc w:val="both"/>
        <w:rPr>
          <w:sz w:val="20"/>
          <w:szCs w:val="20"/>
        </w:rPr>
      </w:pPr>
    </w:p>
    <w:p w:rsidR="00F67052" w:rsidRDefault="00F67052" w:rsidP="00D068DE">
      <w:pPr>
        <w:pStyle w:val="Sansinterligne1"/>
        <w:jc w:val="both"/>
        <w:rPr>
          <w:sz w:val="20"/>
          <w:szCs w:val="20"/>
        </w:rPr>
      </w:pPr>
    </w:p>
    <w:p w:rsidR="00F67052" w:rsidRPr="00D068DE" w:rsidRDefault="00F67052" w:rsidP="00D068DE">
      <w:pPr>
        <w:pStyle w:val="Sansinterligne1"/>
        <w:jc w:val="both"/>
        <w:rPr>
          <w:b/>
          <w:bCs/>
          <w:i/>
          <w:iCs/>
          <w:sz w:val="20"/>
          <w:szCs w:val="20"/>
        </w:rPr>
      </w:pPr>
      <w:r>
        <w:rPr>
          <w:b/>
          <w:bCs/>
          <w:i/>
          <w:iCs/>
          <w:sz w:val="20"/>
          <w:szCs w:val="20"/>
        </w:rPr>
        <w:t>Read more, go to…………</w:t>
      </w:r>
    </w:p>
    <w:p w:rsidR="00F67052" w:rsidRDefault="00F67052" w:rsidP="00D068DE">
      <w:pPr>
        <w:pStyle w:val="Sansinterligne1"/>
        <w:jc w:val="both"/>
      </w:pPr>
    </w:p>
    <w:p w:rsidR="00F67052" w:rsidRDefault="00F67052">
      <w:pPr>
        <w:rPr>
          <w:b/>
          <w:bCs/>
          <w:sz w:val="24"/>
          <w:szCs w:val="24"/>
        </w:rPr>
      </w:pPr>
    </w:p>
    <w:p w:rsidR="00F67052" w:rsidRDefault="00F67052">
      <w:pPr>
        <w:rPr>
          <w:b/>
          <w:bCs/>
          <w:sz w:val="24"/>
          <w:szCs w:val="24"/>
        </w:rPr>
      </w:pPr>
    </w:p>
    <w:p w:rsidR="00F67052" w:rsidRDefault="00F67052">
      <w:pPr>
        <w:rPr>
          <w:b/>
          <w:bCs/>
          <w:sz w:val="24"/>
          <w:szCs w:val="24"/>
        </w:rPr>
      </w:pPr>
    </w:p>
    <w:p w:rsidR="00F67052" w:rsidRDefault="00F67052">
      <w:pPr>
        <w:rPr>
          <w:b/>
          <w:bCs/>
          <w:sz w:val="24"/>
          <w:szCs w:val="24"/>
        </w:rPr>
      </w:pPr>
      <w:r w:rsidRPr="00F54E3C">
        <w:rPr>
          <w:b/>
          <w:bCs/>
          <w:sz w:val="24"/>
          <w:szCs w:val="24"/>
        </w:rPr>
        <w:t>The mission of the ISPCP Constituency</w:t>
      </w:r>
    </w:p>
    <w:p w:rsidR="00F67052" w:rsidRDefault="00F67052">
      <w:pPr>
        <w:rPr>
          <w:sz w:val="32"/>
          <w:szCs w:val="32"/>
          <w:u w:val="single"/>
        </w:rPr>
      </w:pPr>
    </w:p>
    <w:p w:rsidR="00F67052" w:rsidRPr="00D321BC" w:rsidRDefault="00F67052" w:rsidP="00D321BC">
      <w:pPr>
        <w:pStyle w:val="Default"/>
        <w:jc w:val="both"/>
        <w:rPr>
          <w:rFonts w:ascii="Arial" w:hAnsi="Arial" w:cs="Arial"/>
          <w:sz w:val="20"/>
          <w:szCs w:val="20"/>
        </w:rPr>
      </w:pPr>
      <w:r w:rsidRPr="00D321BC">
        <w:rPr>
          <w:rFonts w:ascii="Arial" w:hAnsi="Arial" w:cs="Arial"/>
          <w:sz w:val="20"/>
          <w:szCs w:val="20"/>
        </w:rPr>
        <w:t>The Internet Service Providers and Connectivity Providers operate Internet backbone networks and/or provide access to Internet and related services to End Users.  They   are key players of the Internet. and have an essential role in its stability and development. As a consequence, they contribute toward fulfilling the aims and goals of ICANN.  Since the creation of ICANN, those players formed a constituency to bring their specific and unique expertise to ICANN.</w:t>
      </w:r>
    </w:p>
    <w:p w:rsidR="00F67052" w:rsidRDefault="00F67052">
      <w:pPr>
        <w:pStyle w:val="Sansinterligne1"/>
        <w:jc w:val="both"/>
      </w:pPr>
    </w:p>
    <w:p w:rsidR="00F67052" w:rsidRPr="00D321BC" w:rsidRDefault="00F67052">
      <w:pPr>
        <w:pStyle w:val="Sansinterligne1"/>
        <w:jc w:val="both"/>
        <w:rPr>
          <w:sz w:val="20"/>
          <w:szCs w:val="20"/>
        </w:rPr>
      </w:pPr>
      <w:r w:rsidRPr="00D321BC">
        <w:rPr>
          <w:sz w:val="20"/>
          <w:szCs w:val="20"/>
        </w:rPr>
        <w:t xml:space="preserve">The ISPs and Connectivity Providers Constituency forms an integral part of the generic Name Supporting Organization (GNSO) assigned, according to ICANN Bylaws, Article XX, Section 5, as a representative member of the Commercial Stakeholders Group (CSG) in the Non-Contracted Parties House. The role of the ISPCP Constituency goes beyond this gNSO participation: it takes an active part in many Supporting Organizations, Advisory Committees, and Working Groups within ICANN’s diverse structure. </w:t>
      </w:r>
    </w:p>
    <w:p w:rsidR="00F67052" w:rsidRDefault="00F67052">
      <w:pPr>
        <w:pStyle w:val="Sansinterligne1"/>
        <w:jc w:val="both"/>
      </w:pPr>
    </w:p>
    <w:p w:rsidR="00F67052" w:rsidRPr="00D321BC" w:rsidRDefault="00F67052">
      <w:pPr>
        <w:pStyle w:val="Sansinterligne1"/>
        <w:jc w:val="both"/>
        <w:rPr>
          <w:sz w:val="20"/>
          <w:szCs w:val="20"/>
        </w:rPr>
      </w:pPr>
      <w:r w:rsidRPr="00D321BC">
        <w:rPr>
          <w:sz w:val="20"/>
          <w:szCs w:val="20"/>
        </w:rPr>
        <w:t>Among the numerous topics where they expressed the views of their community, one could mention:</w:t>
      </w:r>
    </w:p>
    <w:p w:rsidR="00F67052" w:rsidRPr="00D321BC" w:rsidRDefault="00F67052">
      <w:pPr>
        <w:pStyle w:val="Sansinterligne1"/>
        <w:numPr>
          <w:ilvl w:val="0"/>
          <w:numId w:val="16"/>
        </w:numPr>
        <w:jc w:val="both"/>
        <w:rPr>
          <w:sz w:val="20"/>
          <w:szCs w:val="20"/>
        </w:rPr>
      </w:pPr>
      <w:r w:rsidRPr="00D321BC">
        <w:rPr>
          <w:sz w:val="20"/>
          <w:szCs w:val="20"/>
        </w:rPr>
        <w:t>Whois policies,</w:t>
      </w:r>
    </w:p>
    <w:p w:rsidR="00F67052" w:rsidRPr="00D321BC" w:rsidRDefault="00F67052">
      <w:pPr>
        <w:pStyle w:val="Sansinterligne1"/>
        <w:numPr>
          <w:ilvl w:val="0"/>
          <w:numId w:val="16"/>
        </w:numPr>
        <w:jc w:val="both"/>
        <w:rPr>
          <w:sz w:val="20"/>
          <w:szCs w:val="20"/>
        </w:rPr>
      </w:pPr>
      <w:r w:rsidRPr="00D321BC">
        <w:rPr>
          <w:sz w:val="20"/>
          <w:szCs w:val="20"/>
        </w:rPr>
        <w:t>New gTLDs and their impact on the network,</w:t>
      </w:r>
    </w:p>
    <w:p w:rsidR="00F67052" w:rsidRPr="00D321BC" w:rsidRDefault="00F67052">
      <w:pPr>
        <w:pStyle w:val="Sansinterligne1"/>
        <w:numPr>
          <w:ilvl w:val="0"/>
          <w:numId w:val="16"/>
        </w:numPr>
        <w:jc w:val="both"/>
        <w:rPr>
          <w:sz w:val="20"/>
          <w:szCs w:val="20"/>
        </w:rPr>
      </w:pPr>
      <w:r w:rsidRPr="00D321BC">
        <w:rPr>
          <w:sz w:val="20"/>
          <w:szCs w:val="20"/>
        </w:rPr>
        <w:t>IP addressing,</w:t>
      </w:r>
    </w:p>
    <w:p w:rsidR="00F67052" w:rsidRPr="00D321BC" w:rsidRDefault="00F67052">
      <w:pPr>
        <w:pStyle w:val="Sansinterligne1"/>
        <w:numPr>
          <w:ilvl w:val="0"/>
          <w:numId w:val="16"/>
        </w:numPr>
        <w:jc w:val="both"/>
        <w:rPr>
          <w:sz w:val="20"/>
          <w:szCs w:val="20"/>
        </w:rPr>
      </w:pPr>
      <w:r w:rsidRPr="00D321BC">
        <w:rPr>
          <w:sz w:val="20"/>
          <w:szCs w:val="20"/>
        </w:rPr>
        <w:t>Institutional evolution of ICANN, notably the Affirmation of Commitments,</w:t>
      </w:r>
    </w:p>
    <w:p w:rsidR="00F67052" w:rsidRDefault="00F67052">
      <w:pPr>
        <w:pStyle w:val="Sansinterligne1"/>
        <w:jc w:val="both"/>
      </w:pPr>
    </w:p>
    <w:p w:rsidR="00F67052" w:rsidRPr="00D321BC" w:rsidRDefault="00F67052">
      <w:pPr>
        <w:pStyle w:val="Sansinterligne1"/>
        <w:jc w:val="both"/>
        <w:rPr>
          <w:sz w:val="20"/>
          <w:szCs w:val="20"/>
        </w:rPr>
      </w:pPr>
      <w:r w:rsidRPr="00D321BC">
        <w:rPr>
          <w:sz w:val="20"/>
          <w:szCs w:val="20"/>
        </w:rPr>
        <w:t xml:space="preserve">To summarize, the Constituency ensures that the views of Internet Service Providers and Connectivity Providers contribute toward fulfilling the aims and goals of ICANN.  The ISPCP actively participates in the work of ICANN to ensure that policy development guarantees and enhances the operational stability of the Internet and the needs and interests of ISP and connectivity providers.   The Constituency also cares about safeguarding the interests and concerns of the ISP and connectivity industry. The Constituency fulfills its roles and responsibilities while adhering to the relevant ICANN bylaws and Operating Procedures. </w:t>
      </w:r>
    </w:p>
    <w:p w:rsidR="00F67052" w:rsidRPr="00D321BC" w:rsidRDefault="00F67052">
      <w:pPr>
        <w:pStyle w:val="Sansinterligne1"/>
        <w:jc w:val="both"/>
        <w:rPr>
          <w:sz w:val="20"/>
          <w:szCs w:val="20"/>
        </w:rPr>
      </w:pPr>
    </w:p>
    <w:p w:rsidR="00F67052" w:rsidRDefault="00F67052">
      <w:pPr>
        <w:rPr>
          <w:sz w:val="32"/>
          <w:szCs w:val="32"/>
          <w:u w:val="single"/>
        </w:rPr>
      </w:pPr>
      <w:r>
        <w:rPr>
          <w:sz w:val="32"/>
          <w:szCs w:val="32"/>
          <w:u w:val="single"/>
        </w:rPr>
        <w:br w:type="page"/>
      </w:r>
    </w:p>
    <w:p w:rsidR="00F67052" w:rsidRDefault="00F67052">
      <w:pPr>
        <w:rPr>
          <w:sz w:val="32"/>
          <w:szCs w:val="32"/>
          <w:u w:val="single"/>
        </w:rPr>
      </w:pPr>
    </w:p>
    <w:p w:rsidR="00F67052" w:rsidRPr="00E104B8" w:rsidRDefault="00F67052" w:rsidP="00311582">
      <w:pPr>
        <w:spacing w:before="240"/>
      </w:pPr>
    </w:p>
    <w:p w:rsidR="00F67052" w:rsidRPr="00D51D8B" w:rsidRDefault="00F67052" w:rsidP="0040408E"/>
    <w:p w:rsidR="00F67052" w:rsidRDefault="00F67052" w:rsidP="0040408E"/>
    <w:p w:rsidR="00F67052" w:rsidRPr="00D321BC" w:rsidRDefault="00F67052">
      <w:pPr>
        <w:pStyle w:val="Head3"/>
        <w:numPr>
          <w:ilvl w:val="0"/>
          <w:numId w:val="0"/>
        </w:numPr>
        <w:ind w:left="720" w:hanging="720"/>
        <w:rPr>
          <w:b/>
          <w:bCs/>
          <w:sz w:val="20"/>
          <w:szCs w:val="20"/>
        </w:rPr>
      </w:pPr>
      <w:r w:rsidRPr="00D321BC">
        <w:rPr>
          <w:b/>
          <w:bCs/>
          <w:sz w:val="20"/>
          <w:szCs w:val="20"/>
        </w:rPr>
        <w:t>The structure of the ISPCP Constituency</w:t>
      </w:r>
    </w:p>
    <w:p w:rsidR="00F67052" w:rsidRPr="00D321BC" w:rsidRDefault="00F67052">
      <w:pPr>
        <w:pStyle w:val="Head3"/>
        <w:numPr>
          <w:ilvl w:val="0"/>
          <w:numId w:val="0"/>
        </w:numPr>
        <w:ind w:left="720" w:hanging="720"/>
        <w:rPr>
          <w:b/>
          <w:bCs/>
          <w:sz w:val="20"/>
          <w:szCs w:val="20"/>
        </w:rPr>
      </w:pPr>
    </w:p>
    <w:p w:rsidR="00F67052" w:rsidRPr="00D321BC" w:rsidRDefault="00F67052" w:rsidP="005636D9">
      <w:pPr>
        <w:pStyle w:val="Default"/>
        <w:rPr>
          <w:rFonts w:ascii="Arial" w:hAnsi="Arial" w:cs="Arial"/>
          <w:sz w:val="20"/>
          <w:szCs w:val="20"/>
        </w:rPr>
      </w:pPr>
      <w:r w:rsidRPr="00D321BC">
        <w:rPr>
          <w:rFonts w:ascii="Arial" w:hAnsi="Arial" w:cs="Arial"/>
          <w:sz w:val="20"/>
          <w:szCs w:val="20"/>
        </w:rPr>
        <w:t xml:space="preserve">The ISPCP Constituency is made up of three groups: the Committee of the Whole, the ISPCP Secretariat, and the ISPCP Executive Officers. </w:t>
      </w:r>
    </w:p>
    <w:p w:rsidR="00F67052" w:rsidRPr="00D321BC" w:rsidRDefault="00F67052" w:rsidP="005636D9">
      <w:pPr>
        <w:pStyle w:val="Default"/>
        <w:rPr>
          <w:rFonts w:ascii="Arial" w:hAnsi="Arial" w:cs="Arial"/>
          <w:sz w:val="20"/>
          <w:szCs w:val="20"/>
        </w:rPr>
      </w:pPr>
    </w:p>
    <w:p w:rsidR="00F67052" w:rsidRPr="00D321BC" w:rsidRDefault="00F67052">
      <w:pPr>
        <w:pStyle w:val="Default"/>
        <w:numPr>
          <w:ilvl w:val="0"/>
          <w:numId w:val="17"/>
        </w:numPr>
        <w:rPr>
          <w:rFonts w:ascii="Arial" w:hAnsi="Arial" w:cs="Arial"/>
          <w:b/>
          <w:bCs/>
          <w:sz w:val="20"/>
          <w:szCs w:val="20"/>
        </w:rPr>
      </w:pPr>
      <w:r w:rsidRPr="00D321BC">
        <w:rPr>
          <w:rFonts w:ascii="Arial" w:hAnsi="Arial" w:cs="Arial"/>
          <w:b/>
          <w:bCs/>
          <w:sz w:val="20"/>
          <w:szCs w:val="20"/>
        </w:rPr>
        <w:tab/>
        <w:t>The Committee of the Whole</w:t>
      </w:r>
    </w:p>
    <w:p w:rsidR="00F67052" w:rsidRDefault="00F67052">
      <w:pPr>
        <w:pStyle w:val="Default"/>
        <w:jc w:val="both"/>
        <w:rPr>
          <w:rFonts w:ascii="Arial" w:hAnsi="Arial" w:cs="Arial"/>
          <w:sz w:val="20"/>
          <w:szCs w:val="20"/>
        </w:rPr>
      </w:pPr>
      <w:r w:rsidRPr="00D321BC">
        <w:rPr>
          <w:rFonts w:ascii="Arial" w:hAnsi="Arial" w:cs="Arial"/>
          <w:sz w:val="20"/>
          <w:szCs w:val="20"/>
        </w:rPr>
        <w:t xml:space="preserve">All members of the ISPCP in good standing are members without reservation or limitation in the Committee of the Whole of the ISPCP and have single and equal rights to participate in all general activities of the ISPCP Constituency. </w:t>
      </w:r>
    </w:p>
    <w:p w:rsidR="00F67052" w:rsidRDefault="00F67052">
      <w:pPr>
        <w:pStyle w:val="Default"/>
        <w:jc w:val="both"/>
        <w:rPr>
          <w:rFonts w:ascii="Arial" w:hAnsi="Arial" w:cs="Arial"/>
          <w:sz w:val="20"/>
          <w:szCs w:val="20"/>
        </w:rPr>
      </w:pPr>
    </w:p>
    <w:p w:rsidR="00F67052" w:rsidRPr="00D321BC" w:rsidRDefault="00F67052">
      <w:pPr>
        <w:pStyle w:val="Default"/>
        <w:jc w:val="both"/>
        <w:rPr>
          <w:rFonts w:ascii="Arial" w:hAnsi="Arial" w:cs="Arial"/>
          <w:sz w:val="20"/>
          <w:szCs w:val="20"/>
        </w:rPr>
      </w:pPr>
      <w:r w:rsidRPr="00D321BC">
        <w:rPr>
          <w:rFonts w:ascii="Arial" w:hAnsi="Arial" w:cs="Arial"/>
          <w:sz w:val="20"/>
          <w:szCs w:val="20"/>
        </w:rPr>
        <w:t xml:space="preserve">Individual commercial entities and Industry Trade Associations may apply for membership if they are ISPs or connectivity providers who: </w:t>
      </w:r>
    </w:p>
    <w:p w:rsidR="00F67052" w:rsidRPr="00D321BC" w:rsidRDefault="00F67052">
      <w:pPr>
        <w:pStyle w:val="Default"/>
        <w:numPr>
          <w:ilvl w:val="0"/>
          <w:numId w:val="7"/>
        </w:numPr>
        <w:spacing w:before="120"/>
        <w:jc w:val="both"/>
        <w:rPr>
          <w:rFonts w:ascii="Arial" w:hAnsi="Arial" w:cs="Arial"/>
          <w:sz w:val="20"/>
          <w:szCs w:val="20"/>
        </w:rPr>
      </w:pPr>
      <w:r w:rsidRPr="00D321BC">
        <w:rPr>
          <w:rFonts w:ascii="Arial" w:hAnsi="Arial" w:cs="Arial"/>
          <w:sz w:val="20"/>
          <w:szCs w:val="20"/>
        </w:rPr>
        <w:t xml:space="preserve">operate an Internet backbone network, or  </w:t>
      </w:r>
    </w:p>
    <w:p w:rsidR="00F67052" w:rsidRPr="00D321BC" w:rsidRDefault="00F67052">
      <w:pPr>
        <w:pStyle w:val="Default"/>
        <w:numPr>
          <w:ilvl w:val="0"/>
          <w:numId w:val="7"/>
        </w:numPr>
        <w:spacing w:before="120"/>
        <w:jc w:val="both"/>
        <w:rPr>
          <w:rFonts w:ascii="Arial" w:hAnsi="Arial" w:cs="Arial"/>
          <w:sz w:val="20"/>
          <w:szCs w:val="20"/>
        </w:rPr>
      </w:pPr>
      <w:r w:rsidRPr="00D321BC">
        <w:rPr>
          <w:rFonts w:ascii="Arial" w:hAnsi="Arial" w:cs="Arial"/>
          <w:sz w:val="20"/>
          <w:szCs w:val="20"/>
        </w:rPr>
        <w:t xml:space="preserve">provide transit to either Internet users or 3rd party Internet content, or </w:t>
      </w:r>
    </w:p>
    <w:p w:rsidR="00F67052" w:rsidRPr="00D321BC" w:rsidRDefault="00F67052">
      <w:pPr>
        <w:pStyle w:val="Default"/>
        <w:numPr>
          <w:ilvl w:val="0"/>
          <w:numId w:val="7"/>
        </w:numPr>
        <w:spacing w:before="120"/>
        <w:jc w:val="both"/>
        <w:rPr>
          <w:rFonts w:ascii="Arial" w:hAnsi="Arial" w:cs="Arial"/>
          <w:sz w:val="20"/>
          <w:szCs w:val="20"/>
        </w:rPr>
      </w:pPr>
      <w:r w:rsidRPr="00D321BC">
        <w:rPr>
          <w:rFonts w:ascii="Arial" w:hAnsi="Arial" w:cs="Arial"/>
          <w:sz w:val="20"/>
          <w:szCs w:val="20"/>
        </w:rPr>
        <w:t xml:space="preserve">are an industry trade association that represents ISPs, connectivity providers , portal services, or electronic commerce companies, or </w:t>
      </w:r>
    </w:p>
    <w:p w:rsidR="00F67052" w:rsidRPr="00D321BC" w:rsidRDefault="00F67052">
      <w:pPr>
        <w:pStyle w:val="Default"/>
        <w:numPr>
          <w:ilvl w:val="0"/>
          <w:numId w:val="7"/>
        </w:numPr>
        <w:spacing w:before="120"/>
        <w:jc w:val="both"/>
        <w:rPr>
          <w:rFonts w:ascii="Arial" w:hAnsi="Arial" w:cs="Arial"/>
          <w:sz w:val="20"/>
          <w:szCs w:val="20"/>
        </w:rPr>
      </w:pPr>
      <w:r w:rsidRPr="00D321BC">
        <w:rPr>
          <w:rFonts w:ascii="Arial" w:hAnsi="Arial" w:cs="Arial"/>
          <w:sz w:val="20"/>
          <w:szCs w:val="20"/>
        </w:rPr>
        <w:t>provides to 3rd party organizations, over the public Internet, either 1) Internet-based application services or 2) managed security services and</w:t>
      </w:r>
    </w:p>
    <w:p w:rsidR="00F67052" w:rsidRPr="00D321BC" w:rsidRDefault="00F67052">
      <w:pPr>
        <w:pStyle w:val="Default"/>
        <w:numPr>
          <w:ilvl w:val="0"/>
          <w:numId w:val="7"/>
        </w:numPr>
        <w:spacing w:before="120"/>
        <w:jc w:val="both"/>
        <w:rPr>
          <w:rFonts w:ascii="Arial" w:hAnsi="Arial" w:cs="Arial"/>
          <w:sz w:val="20"/>
          <w:szCs w:val="20"/>
        </w:rPr>
      </w:pPr>
      <w:r w:rsidRPr="00D321BC">
        <w:rPr>
          <w:rFonts w:ascii="Arial" w:hAnsi="Arial" w:cs="Arial"/>
          <w:sz w:val="20"/>
          <w:szCs w:val="20"/>
        </w:rPr>
        <w:t>demonstrate that the activities of the gNSO commercially affect themselves and</w:t>
      </w:r>
    </w:p>
    <w:p w:rsidR="00F67052" w:rsidRPr="00D321BC" w:rsidRDefault="00F67052">
      <w:pPr>
        <w:pStyle w:val="Default"/>
        <w:numPr>
          <w:ilvl w:val="0"/>
          <w:numId w:val="7"/>
        </w:numPr>
        <w:spacing w:before="120"/>
        <w:jc w:val="both"/>
        <w:rPr>
          <w:rFonts w:ascii="Arial" w:hAnsi="Arial" w:cs="Arial"/>
          <w:sz w:val="20"/>
          <w:szCs w:val="20"/>
        </w:rPr>
      </w:pPr>
      <w:r w:rsidRPr="00D321BC">
        <w:rPr>
          <w:rFonts w:ascii="Arial" w:hAnsi="Arial" w:cs="Arial"/>
          <w:sz w:val="20"/>
          <w:szCs w:val="20"/>
        </w:rPr>
        <w:t xml:space="preserve">understand that Representatives appointed to the Constituency need to participate on a regular basis in the work of the Constituency. </w:t>
      </w:r>
    </w:p>
    <w:p w:rsidR="00F67052" w:rsidRPr="00D321BC" w:rsidRDefault="00F67052" w:rsidP="00EE1254">
      <w:pPr>
        <w:pStyle w:val="Sansinterligne1"/>
        <w:rPr>
          <w:sz w:val="20"/>
          <w:szCs w:val="20"/>
        </w:rPr>
      </w:pPr>
    </w:p>
    <w:p w:rsidR="00F67052" w:rsidRPr="00D321BC" w:rsidRDefault="00F67052" w:rsidP="009C40A6">
      <w:pPr>
        <w:pStyle w:val="Heading1"/>
        <w:numPr>
          <w:ilvl w:val="0"/>
          <w:numId w:val="0"/>
        </w:numPr>
        <w:rPr>
          <w:rFonts w:ascii="Arial" w:hAnsi="Arial" w:cs="Arial"/>
          <w:b w:val="0"/>
          <w:bCs w:val="0"/>
          <w:sz w:val="20"/>
          <w:szCs w:val="20"/>
        </w:rPr>
      </w:pPr>
    </w:p>
    <w:p w:rsidR="00F67052" w:rsidRPr="00D321BC" w:rsidRDefault="00F67052">
      <w:pPr>
        <w:pStyle w:val="ListParagraph"/>
        <w:numPr>
          <w:ilvl w:val="0"/>
          <w:numId w:val="17"/>
        </w:numPr>
        <w:rPr>
          <w:b/>
          <w:bCs/>
          <w:sz w:val="20"/>
          <w:szCs w:val="20"/>
        </w:rPr>
      </w:pPr>
      <w:r w:rsidRPr="00D321BC">
        <w:rPr>
          <w:b/>
          <w:bCs/>
          <w:sz w:val="20"/>
          <w:szCs w:val="20"/>
        </w:rPr>
        <w:t xml:space="preserve">The Secretariat </w:t>
      </w:r>
    </w:p>
    <w:p w:rsidR="00F67052" w:rsidRPr="00D321BC" w:rsidRDefault="00F67052" w:rsidP="00EE1254">
      <w:pPr>
        <w:pStyle w:val="Sansinterligne1"/>
        <w:rPr>
          <w:sz w:val="20"/>
          <w:szCs w:val="20"/>
        </w:rPr>
      </w:pPr>
      <w:r w:rsidRPr="00D321BC">
        <w:rPr>
          <w:sz w:val="20"/>
          <w:szCs w:val="20"/>
        </w:rPr>
        <w:t>A professional secretariat is responsible for the day-to-day administration of the Constituency</w:t>
      </w:r>
    </w:p>
    <w:p w:rsidR="00F67052" w:rsidRPr="00D321BC" w:rsidRDefault="00F67052" w:rsidP="009C40A6">
      <w:pPr>
        <w:rPr>
          <w:sz w:val="20"/>
          <w:szCs w:val="20"/>
        </w:rPr>
      </w:pPr>
    </w:p>
    <w:p w:rsidR="00F67052" w:rsidRPr="00D321BC" w:rsidRDefault="00F67052">
      <w:pPr>
        <w:pStyle w:val="ListParagraph"/>
        <w:numPr>
          <w:ilvl w:val="0"/>
          <w:numId w:val="17"/>
        </w:numPr>
        <w:rPr>
          <w:b/>
          <w:bCs/>
          <w:sz w:val="20"/>
          <w:szCs w:val="20"/>
        </w:rPr>
      </w:pPr>
      <w:r w:rsidRPr="00D321BC">
        <w:rPr>
          <w:b/>
          <w:bCs/>
          <w:sz w:val="20"/>
          <w:szCs w:val="20"/>
        </w:rPr>
        <w:t>The Executive officers</w:t>
      </w:r>
    </w:p>
    <w:p w:rsidR="00F67052" w:rsidRPr="00D321BC" w:rsidRDefault="00F67052">
      <w:pPr>
        <w:pStyle w:val="Default"/>
        <w:rPr>
          <w:rFonts w:cs="Arial"/>
          <w:sz w:val="20"/>
          <w:szCs w:val="20"/>
        </w:rPr>
      </w:pPr>
      <w:r w:rsidRPr="00D321BC">
        <w:rPr>
          <w:rFonts w:ascii="Arial" w:hAnsi="Arial" w:cs="Arial"/>
          <w:sz w:val="20"/>
          <w:szCs w:val="20"/>
        </w:rPr>
        <w:t xml:space="preserve">The ISPCP is represented by its elected Officers: the Chairperson, elected by the committee, the elected ISPCP constituency member(s) serving on the GNSO Council, the ISPCP member elected to serve on the Commercial Stakeholder Group Executive and his alternate, resulting in a maximum of 5 ISPCP officers. </w:t>
      </w:r>
    </w:p>
    <w:p w:rsidR="00F67052" w:rsidRPr="00D321BC" w:rsidRDefault="00F67052" w:rsidP="005636D9">
      <w:pPr>
        <w:pStyle w:val="Default"/>
        <w:rPr>
          <w:rFonts w:ascii="Arial" w:hAnsi="Arial" w:cs="Arial"/>
          <w:sz w:val="20"/>
          <w:szCs w:val="20"/>
        </w:rPr>
      </w:pPr>
    </w:p>
    <w:p w:rsidR="00F67052" w:rsidRPr="00D321BC" w:rsidRDefault="00F67052">
      <w:pPr>
        <w:rPr>
          <w:b/>
          <w:bCs/>
          <w:color w:val="000000"/>
          <w:sz w:val="20"/>
          <w:szCs w:val="20"/>
        </w:rPr>
      </w:pPr>
    </w:p>
    <w:p w:rsidR="00F67052" w:rsidRPr="00D321BC" w:rsidRDefault="00F67052">
      <w:pPr>
        <w:keepNext/>
        <w:outlineLvl w:val="0"/>
        <w:rPr>
          <w:sz w:val="20"/>
          <w:szCs w:val="20"/>
        </w:rPr>
      </w:pPr>
    </w:p>
    <w:sectPr w:rsidR="00F67052" w:rsidRPr="00D321BC" w:rsidSect="0040408E">
      <w:headerReference w:type="default" r:id="rId7"/>
      <w:footerReference w:type="default" r:id="rId8"/>
      <w:pgSz w:w="12240" w:h="15840"/>
      <w:pgMar w:top="216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052" w:rsidRDefault="00F67052" w:rsidP="0040408E">
      <w:r>
        <w:separator/>
      </w:r>
    </w:p>
  </w:endnote>
  <w:endnote w:type="continuationSeparator" w:id="0">
    <w:p w:rsidR="00F67052" w:rsidRDefault="00F67052" w:rsidP="004040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52" w:rsidRDefault="00F67052" w:rsidP="0040408E">
    <w:pPr>
      <w:tabs>
        <w:tab w:val="left" w:pos="4680"/>
      </w:tabs>
      <w:jc w:val="center"/>
    </w:pPr>
    <w:fldSimple w:instr=" PAGE   \* MERGEFORMAT ">
      <w:r w:rsidRPr="003E038A">
        <w:rPr>
          <w:noProof/>
          <w:sz w:val="24"/>
          <w:szCs w:val="24"/>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052" w:rsidRDefault="00F67052" w:rsidP="0040408E">
      <w:r>
        <w:separator/>
      </w:r>
    </w:p>
  </w:footnote>
  <w:footnote w:type="continuationSeparator" w:id="0">
    <w:p w:rsidR="00F67052" w:rsidRDefault="00F67052" w:rsidP="004040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52" w:rsidRDefault="00F67052" w:rsidP="0040408E">
    <w:pPr>
      <w:pStyle w:val="Header"/>
      <w:tabs>
        <w:tab w:val="left" w:pos="1800"/>
      </w:tabs>
      <w:spacing w:before="240"/>
    </w:pPr>
    <w:r>
      <w:rPr>
        <w:noProof/>
      </w:rPr>
      <w:pict>
        <v:shapetype id="_x0000_t32" coordsize="21600,21600" o:spt="32" o:oned="t" path="m,l21600,21600e" filled="f">
          <v:path arrowok="t" fillok="f" o:connecttype="none"/>
          <o:lock v:ext="edit" shapetype="t"/>
        </v:shapetype>
        <v:shape id="_x0000_s2049" type="#_x0000_t32" style="position:absolute;margin-left:0;margin-top:58.5pt;width:466.5pt;height:0;z-index:251658240" o:connectortype="straight" strokeweight="1.25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0" type="#_x0000_t75" alt="Icann-Logo" style="position:absolute;margin-left:-9pt;margin-top:-6.95pt;width:75.75pt;height:58.25pt;z-index:251657216;visibility:visible">
          <v:imagedata r:id="rId1" o:title=""/>
          <w10:wrap type="square"/>
        </v:shape>
      </w:pict>
    </w:r>
    <w:r>
      <w:rPr>
        <w:b/>
        <w:bCs/>
        <w:sz w:val="44"/>
        <w:szCs w:val="44"/>
      </w:rPr>
      <w:tab/>
      <w:t>ISPCP Charter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EB4"/>
    <w:multiLevelType w:val="hybridMultilevel"/>
    <w:tmpl w:val="9A2C3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C96F9B"/>
    <w:multiLevelType w:val="hybridMultilevel"/>
    <w:tmpl w:val="9BD2487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82B00E7"/>
    <w:multiLevelType w:val="hybridMultilevel"/>
    <w:tmpl w:val="B644C72A"/>
    <w:lvl w:ilvl="0" w:tplc="040C0001">
      <w:start w:val="1"/>
      <w:numFmt w:val="bullet"/>
      <w:lvlText w:val=""/>
      <w:lvlJc w:val="left"/>
      <w:pPr>
        <w:ind w:left="709" w:hanging="360"/>
      </w:pPr>
      <w:rPr>
        <w:rFonts w:ascii="Symbol" w:hAnsi="Symbol" w:cs="Symbol" w:hint="default"/>
      </w:rPr>
    </w:lvl>
    <w:lvl w:ilvl="1" w:tplc="040C0003">
      <w:start w:val="1"/>
      <w:numFmt w:val="bullet"/>
      <w:lvlText w:val="o"/>
      <w:lvlJc w:val="left"/>
      <w:pPr>
        <w:ind w:left="1429" w:hanging="360"/>
      </w:pPr>
      <w:rPr>
        <w:rFonts w:ascii="Courier New" w:hAnsi="Courier New" w:cs="Courier New" w:hint="default"/>
      </w:rPr>
    </w:lvl>
    <w:lvl w:ilvl="2" w:tplc="040C0005">
      <w:start w:val="1"/>
      <w:numFmt w:val="bullet"/>
      <w:lvlText w:val=""/>
      <w:lvlJc w:val="left"/>
      <w:pPr>
        <w:ind w:left="2149" w:hanging="360"/>
      </w:pPr>
      <w:rPr>
        <w:rFonts w:ascii="Wingdings" w:hAnsi="Wingdings" w:cs="Wingdings" w:hint="default"/>
      </w:rPr>
    </w:lvl>
    <w:lvl w:ilvl="3" w:tplc="040C0001">
      <w:start w:val="1"/>
      <w:numFmt w:val="bullet"/>
      <w:lvlText w:val=""/>
      <w:lvlJc w:val="left"/>
      <w:pPr>
        <w:ind w:left="2869" w:hanging="360"/>
      </w:pPr>
      <w:rPr>
        <w:rFonts w:ascii="Symbol" w:hAnsi="Symbol" w:cs="Symbol" w:hint="default"/>
      </w:rPr>
    </w:lvl>
    <w:lvl w:ilvl="4" w:tplc="040C0003">
      <w:start w:val="1"/>
      <w:numFmt w:val="bullet"/>
      <w:lvlText w:val="o"/>
      <w:lvlJc w:val="left"/>
      <w:pPr>
        <w:ind w:left="3589" w:hanging="360"/>
      </w:pPr>
      <w:rPr>
        <w:rFonts w:ascii="Courier New" w:hAnsi="Courier New" w:cs="Courier New" w:hint="default"/>
      </w:rPr>
    </w:lvl>
    <w:lvl w:ilvl="5" w:tplc="040C0005">
      <w:start w:val="1"/>
      <w:numFmt w:val="bullet"/>
      <w:lvlText w:val=""/>
      <w:lvlJc w:val="left"/>
      <w:pPr>
        <w:ind w:left="4309" w:hanging="360"/>
      </w:pPr>
      <w:rPr>
        <w:rFonts w:ascii="Wingdings" w:hAnsi="Wingdings" w:cs="Wingdings" w:hint="default"/>
      </w:rPr>
    </w:lvl>
    <w:lvl w:ilvl="6" w:tplc="040C0001">
      <w:start w:val="1"/>
      <w:numFmt w:val="bullet"/>
      <w:lvlText w:val=""/>
      <w:lvlJc w:val="left"/>
      <w:pPr>
        <w:ind w:left="5029" w:hanging="360"/>
      </w:pPr>
      <w:rPr>
        <w:rFonts w:ascii="Symbol" w:hAnsi="Symbol" w:cs="Symbol" w:hint="default"/>
      </w:rPr>
    </w:lvl>
    <w:lvl w:ilvl="7" w:tplc="040C0003">
      <w:start w:val="1"/>
      <w:numFmt w:val="bullet"/>
      <w:lvlText w:val="o"/>
      <w:lvlJc w:val="left"/>
      <w:pPr>
        <w:ind w:left="5749" w:hanging="360"/>
      </w:pPr>
      <w:rPr>
        <w:rFonts w:ascii="Courier New" w:hAnsi="Courier New" w:cs="Courier New" w:hint="default"/>
      </w:rPr>
    </w:lvl>
    <w:lvl w:ilvl="8" w:tplc="040C0005">
      <w:start w:val="1"/>
      <w:numFmt w:val="bullet"/>
      <w:lvlText w:val=""/>
      <w:lvlJc w:val="left"/>
      <w:pPr>
        <w:ind w:left="6469" w:hanging="360"/>
      </w:pPr>
      <w:rPr>
        <w:rFonts w:ascii="Wingdings" w:hAnsi="Wingdings" w:cs="Wingdings" w:hint="default"/>
      </w:rPr>
    </w:lvl>
  </w:abstractNum>
  <w:abstractNum w:abstractNumId="3">
    <w:nsid w:val="086425D8"/>
    <w:multiLevelType w:val="hybridMultilevel"/>
    <w:tmpl w:val="5726A8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D612BD"/>
    <w:multiLevelType w:val="hybridMultilevel"/>
    <w:tmpl w:val="FCE44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387398"/>
    <w:multiLevelType w:val="hybridMultilevel"/>
    <w:tmpl w:val="C7B05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03A6243"/>
    <w:multiLevelType w:val="hybridMultilevel"/>
    <w:tmpl w:val="BE741F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7D92C01"/>
    <w:multiLevelType w:val="hybridMultilevel"/>
    <w:tmpl w:val="D526A2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A8C49A6"/>
    <w:multiLevelType w:val="hybridMultilevel"/>
    <w:tmpl w:val="6EEA6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AD83519"/>
    <w:multiLevelType w:val="hybridMultilevel"/>
    <w:tmpl w:val="9C726FF6"/>
    <w:lvl w:ilvl="0" w:tplc="577C8DC0">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67F276D"/>
    <w:multiLevelType w:val="multilevel"/>
    <w:tmpl w:val="0C78AE7E"/>
    <w:lvl w:ilvl="0">
      <w:start w:val="1"/>
      <w:numFmt w:val="decimal"/>
      <w:pStyle w:val="Heading1"/>
      <w:lvlText w:val="%1.0"/>
      <w:lvlJc w:val="left"/>
      <w:pPr>
        <w:ind w:left="1681" w:hanging="405"/>
      </w:pPr>
      <w:rPr>
        <w:rFonts w:hint="default"/>
      </w:rPr>
    </w:lvl>
    <w:lvl w:ilvl="1">
      <w:start w:val="1"/>
      <w:numFmt w:val="decimal"/>
      <w:pStyle w:val="Head3"/>
      <w:lvlText w:val="%1.%2"/>
      <w:lvlJc w:val="left"/>
      <w:pPr>
        <w:ind w:left="-4840" w:hanging="405"/>
      </w:pPr>
      <w:rPr>
        <w:rFonts w:hint="default"/>
      </w:rPr>
    </w:lvl>
    <w:lvl w:ilvl="2">
      <w:start w:val="1"/>
      <w:numFmt w:val="decimal"/>
      <w:lvlText w:val="%1.%2.%3"/>
      <w:lvlJc w:val="left"/>
      <w:pPr>
        <w:ind w:left="-3085" w:hanging="720"/>
      </w:pPr>
      <w:rPr>
        <w:rFonts w:hint="default"/>
      </w:rPr>
    </w:lvl>
    <w:lvl w:ilvl="3">
      <w:start w:val="1"/>
      <w:numFmt w:val="decimal"/>
      <w:lvlText w:val="%1.%2.%3.%4"/>
      <w:lvlJc w:val="left"/>
      <w:pPr>
        <w:ind w:left="-2365" w:hanging="720"/>
      </w:pPr>
      <w:rPr>
        <w:rFonts w:hint="default"/>
      </w:rPr>
    </w:lvl>
    <w:lvl w:ilvl="4">
      <w:start w:val="1"/>
      <w:numFmt w:val="decimal"/>
      <w:lvlText w:val="%1.%2.%3.%4.%5"/>
      <w:lvlJc w:val="left"/>
      <w:pPr>
        <w:ind w:left="-1285" w:hanging="1080"/>
      </w:pPr>
      <w:rPr>
        <w:rFonts w:hint="default"/>
      </w:rPr>
    </w:lvl>
    <w:lvl w:ilvl="5">
      <w:start w:val="1"/>
      <w:numFmt w:val="decimal"/>
      <w:lvlText w:val="%1.%2.%3.%4.%5.%6"/>
      <w:lvlJc w:val="left"/>
      <w:pPr>
        <w:ind w:left="-565" w:hanging="1080"/>
      </w:pPr>
      <w:rPr>
        <w:rFonts w:hint="default"/>
      </w:rPr>
    </w:lvl>
    <w:lvl w:ilvl="6">
      <w:start w:val="1"/>
      <w:numFmt w:val="decimal"/>
      <w:lvlText w:val="%1.%2.%3.%4.%5.%6.%7"/>
      <w:lvlJc w:val="left"/>
      <w:pPr>
        <w:ind w:left="515" w:hanging="1440"/>
      </w:pPr>
      <w:rPr>
        <w:rFonts w:hint="default"/>
      </w:rPr>
    </w:lvl>
    <w:lvl w:ilvl="7">
      <w:start w:val="1"/>
      <w:numFmt w:val="decimal"/>
      <w:lvlText w:val="%1.%2.%3.%4.%5.%6.%7.%8"/>
      <w:lvlJc w:val="left"/>
      <w:pPr>
        <w:ind w:left="1235" w:hanging="1440"/>
      </w:pPr>
      <w:rPr>
        <w:rFonts w:hint="default"/>
      </w:rPr>
    </w:lvl>
    <w:lvl w:ilvl="8">
      <w:start w:val="1"/>
      <w:numFmt w:val="decimal"/>
      <w:lvlText w:val="%1.%2.%3.%4.%5.%6.%7.%8.%9"/>
      <w:lvlJc w:val="left"/>
      <w:pPr>
        <w:ind w:left="2315" w:hanging="1800"/>
      </w:pPr>
      <w:rPr>
        <w:rFonts w:hint="default"/>
      </w:rPr>
    </w:lvl>
  </w:abstractNum>
  <w:abstractNum w:abstractNumId="11">
    <w:nsid w:val="5D9A3A44"/>
    <w:multiLevelType w:val="hybridMultilevel"/>
    <w:tmpl w:val="CEAC52E0"/>
    <w:lvl w:ilvl="0" w:tplc="526A17FC">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605C79C4"/>
    <w:multiLevelType w:val="hybridMultilevel"/>
    <w:tmpl w:val="6636A324"/>
    <w:lvl w:ilvl="0" w:tplc="04090001">
      <w:start w:val="1"/>
      <w:numFmt w:val="bullet"/>
      <w:lvlText w:val=""/>
      <w:lvlJc w:val="left"/>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A556324"/>
    <w:multiLevelType w:val="multilevel"/>
    <w:tmpl w:val="32DC7FB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10"/>
  </w:num>
  <w:num w:numId="2">
    <w:abstractNumId w:val="8"/>
  </w:num>
  <w:num w:numId="3">
    <w:abstractNumId w:val="13"/>
  </w:num>
  <w:num w:numId="4">
    <w:abstractNumId w:val="10"/>
  </w:num>
  <w:num w:numId="5">
    <w:abstractNumId w:val="10"/>
  </w:num>
  <w:num w:numId="6">
    <w:abstractNumId w:val="6"/>
  </w:num>
  <w:num w:numId="7">
    <w:abstractNumId w:val="11"/>
  </w:num>
  <w:num w:numId="8">
    <w:abstractNumId w:val="10"/>
  </w:num>
  <w:num w:numId="9">
    <w:abstractNumId w:val="3"/>
  </w:num>
  <w:num w:numId="10">
    <w:abstractNumId w:val="7"/>
  </w:num>
  <w:num w:numId="11">
    <w:abstractNumId w:val="12"/>
  </w:num>
  <w:num w:numId="12">
    <w:abstractNumId w:val="5"/>
  </w:num>
  <w:num w:numId="13">
    <w:abstractNumId w:val="4"/>
  </w:num>
  <w:num w:numId="14">
    <w:abstractNumId w:val="0"/>
  </w:num>
  <w:num w:numId="15">
    <w:abstractNumId w:val="9"/>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6AC"/>
    <w:rsid w:val="00014FC0"/>
    <w:rsid w:val="00032E7C"/>
    <w:rsid w:val="00040111"/>
    <w:rsid w:val="00040D6B"/>
    <w:rsid w:val="000567E5"/>
    <w:rsid w:val="0006298C"/>
    <w:rsid w:val="000D0D01"/>
    <w:rsid w:val="000D2DFF"/>
    <w:rsid w:val="000E3089"/>
    <w:rsid w:val="00114C19"/>
    <w:rsid w:val="00141B21"/>
    <w:rsid w:val="00157D26"/>
    <w:rsid w:val="001823B2"/>
    <w:rsid w:val="001B658E"/>
    <w:rsid w:val="001C0447"/>
    <w:rsid w:val="00204317"/>
    <w:rsid w:val="00212012"/>
    <w:rsid w:val="00212ECA"/>
    <w:rsid w:val="00220F27"/>
    <w:rsid w:val="0023614E"/>
    <w:rsid w:val="002A35F7"/>
    <w:rsid w:val="002C6793"/>
    <w:rsid w:val="002E4378"/>
    <w:rsid w:val="002E523F"/>
    <w:rsid w:val="00311582"/>
    <w:rsid w:val="00316B58"/>
    <w:rsid w:val="0032330F"/>
    <w:rsid w:val="00366D00"/>
    <w:rsid w:val="00386FFA"/>
    <w:rsid w:val="003B4489"/>
    <w:rsid w:val="003B4A65"/>
    <w:rsid w:val="003D3D45"/>
    <w:rsid w:val="003E038A"/>
    <w:rsid w:val="0040408E"/>
    <w:rsid w:val="00417A38"/>
    <w:rsid w:val="004B4022"/>
    <w:rsid w:val="004D016C"/>
    <w:rsid w:val="004D2D5A"/>
    <w:rsid w:val="004E272F"/>
    <w:rsid w:val="004E2EE8"/>
    <w:rsid w:val="004F02CF"/>
    <w:rsid w:val="0053113E"/>
    <w:rsid w:val="005636D9"/>
    <w:rsid w:val="005B6E40"/>
    <w:rsid w:val="005C3577"/>
    <w:rsid w:val="005C5241"/>
    <w:rsid w:val="005E24C3"/>
    <w:rsid w:val="005F059C"/>
    <w:rsid w:val="005F1E8F"/>
    <w:rsid w:val="005F5E28"/>
    <w:rsid w:val="005F7B84"/>
    <w:rsid w:val="00622CF8"/>
    <w:rsid w:val="0062419F"/>
    <w:rsid w:val="006410FB"/>
    <w:rsid w:val="006816E9"/>
    <w:rsid w:val="006A0537"/>
    <w:rsid w:val="006A3F08"/>
    <w:rsid w:val="006A4508"/>
    <w:rsid w:val="006D55E2"/>
    <w:rsid w:val="006F397A"/>
    <w:rsid w:val="007111AC"/>
    <w:rsid w:val="007139F8"/>
    <w:rsid w:val="007306D9"/>
    <w:rsid w:val="007A651C"/>
    <w:rsid w:val="007C5E5B"/>
    <w:rsid w:val="007E0940"/>
    <w:rsid w:val="00801641"/>
    <w:rsid w:val="008867FE"/>
    <w:rsid w:val="008C10C3"/>
    <w:rsid w:val="008D416A"/>
    <w:rsid w:val="008E31D3"/>
    <w:rsid w:val="008E6DBA"/>
    <w:rsid w:val="008F6D4F"/>
    <w:rsid w:val="009002DA"/>
    <w:rsid w:val="00945279"/>
    <w:rsid w:val="00963C60"/>
    <w:rsid w:val="00970FC6"/>
    <w:rsid w:val="0097170E"/>
    <w:rsid w:val="009722C8"/>
    <w:rsid w:val="0099153E"/>
    <w:rsid w:val="009B4A8F"/>
    <w:rsid w:val="009C40A6"/>
    <w:rsid w:val="009C6848"/>
    <w:rsid w:val="009D226C"/>
    <w:rsid w:val="009D6363"/>
    <w:rsid w:val="009F072B"/>
    <w:rsid w:val="009F0DE3"/>
    <w:rsid w:val="00A03843"/>
    <w:rsid w:val="00A13ECD"/>
    <w:rsid w:val="00A40E0E"/>
    <w:rsid w:val="00A82074"/>
    <w:rsid w:val="00A86AB4"/>
    <w:rsid w:val="00AB649B"/>
    <w:rsid w:val="00AD046E"/>
    <w:rsid w:val="00AE0D72"/>
    <w:rsid w:val="00AE3DF5"/>
    <w:rsid w:val="00B26473"/>
    <w:rsid w:val="00B3709E"/>
    <w:rsid w:val="00B427A4"/>
    <w:rsid w:val="00B47D56"/>
    <w:rsid w:val="00B8014B"/>
    <w:rsid w:val="00B85E57"/>
    <w:rsid w:val="00C10E80"/>
    <w:rsid w:val="00C14ABB"/>
    <w:rsid w:val="00C16BE8"/>
    <w:rsid w:val="00C235BF"/>
    <w:rsid w:val="00C305A5"/>
    <w:rsid w:val="00C41EB2"/>
    <w:rsid w:val="00C64218"/>
    <w:rsid w:val="00C67A89"/>
    <w:rsid w:val="00C936A6"/>
    <w:rsid w:val="00CB3EE4"/>
    <w:rsid w:val="00CE459F"/>
    <w:rsid w:val="00CF1DB7"/>
    <w:rsid w:val="00D068DE"/>
    <w:rsid w:val="00D321BC"/>
    <w:rsid w:val="00D4666D"/>
    <w:rsid w:val="00D51D8B"/>
    <w:rsid w:val="00D61309"/>
    <w:rsid w:val="00D71249"/>
    <w:rsid w:val="00D81524"/>
    <w:rsid w:val="00D96BAE"/>
    <w:rsid w:val="00DA24F8"/>
    <w:rsid w:val="00DA5323"/>
    <w:rsid w:val="00DA768E"/>
    <w:rsid w:val="00DB5C28"/>
    <w:rsid w:val="00DC06AC"/>
    <w:rsid w:val="00DC3E14"/>
    <w:rsid w:val="00DF4DE6"/>
    <w:rsid w:val="00E0240F"/>
    <w:rsid w:val="00E104B8"/>
    <w:rsid w:val="00E32491"/>
    <w:rsid w:val="00E32FFA"/>
    <w:rsid w:val="00E634B2"/>
    <w:rsid w:val="00E63707"/>
    <w:rsid w:val="00E842E5"/>
    <w:rsid w:val="00E8737B"/>
    <w:rsid w:val="00EA3409"/>
    <w:rsid w:val="00EE1254"/>
    <w:rsid w:val="00F060AD"/>
    <w:rsid w:val="00F54E3C"/>
    <w:rsid w:val="00F66AA4"/>
    <w:rsid w:val="00F67052"/>
    <w:rsid w:val="00F77156"/>
    <w:rsid w:val="00F83EF0"/>
    <w:rsid w:val="00FB3C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54"/>
    <w:rPr>
      <w:rFonts w:ascii="Arial" w:eastAsia="Times New Roman" w:hAnsi="Arial" w:cs="Arial"/>
    </w:rPr>
  </w:style>
  <w:style w:type="paragraph" w:styleId="Heading1">
    <w:name w:val="heading 1"/>
    <w:basedOn w:val="Normal"/>
    <w:next w:val="Normal"/>
    <w:link w:val="Heading1Char"/>
    <w:uiPriority w:val="99"/>
    <w:qFormat/>
    <w:rsid w:val="00DA24F8"/>
    <w:pPr>
      <w:keepNext/>
      <w:numPr>
        <w:numId w:val="1"/>
      </w:numPr>
      <w:ind w:left="720" w:hanging="720"/>
      <w:outlineLvl w:val="0"/>
    </w:pPr>
    <w:rPr>
      <w:rFonts w:ascii="Times New Roman" w:hAnsi="Times New Roman" w:cs="Times New Roman"/>
      <w:b/>
      <w:bCs/>
      <w:kern w:val="32"/>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24F8"/>
    <w:rPr>
      <w:rFonts w:ascii="Times New Roman" w:hAnsi="Times New Roman" w:cs="Times New Roman"/>
      <w:b/>
      <w:bCs/>
      <w:kern w:val="32"/>
      <w:sz w:val="28"/>
      <w:szCs w:val="28"/>
    </w:rPr>
  </w:style>
  <w:style w:type="paragraph" w:customStyle="1" w:styleId="ColorfulList-Accent11">
    <w:name w:val="Colorful List - Accent 11"/>
    <w:basedOn w:val="Normal"/>
    <w:uiPriority w:val="99"/>
    <w:rsid w:val="00DC06AC"/>
    <w:pPr>
      <w:ind w:left="720"/>
    </w:pPr>
  </w:style>
  <w:style w:type="paragraph" w:customStyle="1" w:styleId="Head3">
    <w:name w:val="Head3"/>
    <w:basedOn w:val="Normal"/>
    <w:link w:val="Head3Char"/>
    <w:uiPriority w:val="99"/>
    <w:rsid w:val="00DA24F8"/>
    <w:pPr>
      <w:numPr>
        <w:ilvl w:val="1"/>
        <w:numId w:val="1"/>
      </w:numPr>
      <w:ind w:left="720" w:hanging="720"/>
    </w:pPr>
  </w:style>
  <w:style w:type="paragraph" w:customStyle="1" w:styleId="TableText">
    <w:name w:val="Table Text"/>
    <w:basedOn w:val="Normal"/>
    <w:uiPriority w:val="99"/>
    <w:rsid w:val="00DA24F8"/>
    <w:pPr>
      <w:spacing w:line="220" w:lineRule="exact"/>
    </w:pPr>
    <w:rPr>
      <w:sz w:val="18"/>
      <w:szCs w:val="18"/>
    </w:rPr>
  </w:style>
  <w:style w:type="character" w:customStyle="1" w:styleId="Head3Char">
    <w:name w:val="Head3 Char"/>
    <w:basedOn w:val="DefaultParagraphFont"/>
    <w:link w:val="Head3"/>
    <w:uiPriority w:val="99"/>
    <w:locked/>
    <w:rsid w:val="00DA24F8"/>
    <w:rPr>
      <w:rFonts w:ascii="Times New Roman" w:hAnsi="Times New Roman" w:cs="Times New Roman"/>
      <w:sz w:val="24"/>
      <w:szCs w:val="24"/>
    </w:rPr>
  </w:style>
  <w:style w:type="paragraph" w:styleId="Header">
    <w:name w:val="header"/>
    <w:basedOn w:val="Normal"/>
    <w:link w:val="HeaderChar"/>
    <w:uiPriority w:val="99"/>
    <w:semiHidden/>
    <w:rsid w:val="00DA24F8"/>
    <w:pPr>
      <w:tabs>
        <w:tab w:val="center" w:pos="4680"/>
        <w:tab w:val="right" w:pos="9360"/>
      </w:tabs>
    </w:pPr>
  </w:style>
  <w:style w:type="character" w:customStyle="1" w:styleId="HeaderChar">
    <w:name w:val="Header Char"/>
    <w:basedOn w:val="DefaultParagraphFont"/>
    <w:link w:val="Header"/>
    <w:uiPriority w:val="99"/>
    <w:semiHidden/>
    <w:locked/>
    <w:rsid w:val="00DA24F8"/>
    <w:rPr>
      <w:rFonts w:ascii="Times New Roman" w:hAnsi="Times New Roman" w:cs="Times New Roman"/>
      <w:sz w:val="24"/>
      <w:szCs w:val="24"/>
    </w:rPr>
  </w:style>
  <w:style w:type="paragraph" w:styleId="Footer">
    <w:name w:val="footer"/>
    <w:basedOn w:val="Normal"/>
    <w:link w:val="FooterChar"/>
    <w:uiPriority w:val="99"/>
    <w:rsid w:val="00DA24F8"/>
    <w:pPr>
      <w:tabs>
        <w:tab w:val="center" w:pos="4680"/>
        <w:tab w:val="right" w:pos="9360"/>
      </w:tabs>
    </w:pPr>
  </w:style>
  <w:style w:type="character" w:customStyle="1" w:styleId="FooterChar">
    <w:name w:val="Footer Char"/>
    <w:basedOn w:val="DefaultParagraphFont"/>
    <w:link w:val="Footer"/>
    <w:uiPriority w:val="99"/>
    <w:locked/>
    <w:rsid w:val="00DA24F8"/>
    <w:rPr>
      <w:rFonts w:ascii="Times New Roman" w:hAnsi="Times New Roman" w:cs="Times New Roman"/>
      <w:sz w:val="24"/>
      <w:szCs w:val="24"/>
    </w:rPr>
  </w:style>
  <w:style w:type="paragraph" w:styleId="TOC1">
    <w:name w:val="toc 1"/>
    <w:basedOn w:val="Normal"/>
    <w:next w:val="Normal"/>
    <w:autoRedefine/>
    <w:uiPriority w:val="99"/>
    <w:semiHidden/>
    <w:rsid w:val="00DA24F8"/>
  </w:style>
  <w:style w:type="character" w:styleId="Hyperlink">
    <w:name w:val="Hyperlink"/>
    <w:basedOn w:val="DefaultParagraphFont"/>
    <w:uiPriority w:val="99"/>
    <w:rsid w:val="00DA24F8"/>
    <w:rPr>
      <w:color w:val="0000FF"/>
      <w:u w:val="single"/>
    </w:rPr>
  </w:style>
  <w:style w:type="paragraph" w:styleId="BalloonText">
    <w:name w:val="Balloon Text"/>
    <w:basedOn w:val="Normal"/>
    <w:link w:val="BalloonTextChar"/>
    <w:uiPriority w:val="99"/>
    <w:semiHidden/>
    <w:rsid w:val="00DA24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A24F8"/>
    <w:rPr>
      <w:rFonts w:ascii="Lucida Grande" w:hAnsi="Lucida Grande" w:cs="Lucida Grande"/>
      <w:sz w:val="18"/>
      <w:szCs w:val="18"/>
    </w:rPr>
  </w:style>
  <w:style w:type="character" w:styleId="CommentReference">
    <w:name w:val="annotation reference"/>
    <w:basedOn w:val="DefaultParagraphFont"/>
    <w:uiPriority w:val="99"/>
    <w:semiHidden/>
    <w:rsid w:val="00DA24F8"/>
    <w:rPr>
      <w:sz w:val="18"/>
      <w:szCs w:val="18"/>
    </w:rPr>
  </w:style>
  <w:style w:type="paragraph" w:styleId="CommentText">
    <w:name w:val="annotation text"/>
    <w:basedOn w:val="Normal"/>
    <w:link w:val="CommentTextChar"/>
    <w:uiPriority w:val="99"/>
    <w:semiHidden/>
    <w:rsid w:val="00DA24F8"/>
  </w:style>
  <w:style w:type="character" w:customStyle="1" w:styleId="CommentTextChar">
    <w:name w:val="Comment Text Char"/>
    <w:basedOn w:val="DefaultParagraphFont"/>
    <w:link w:val="CommentText"/>
    <w:uiPriority w:val="99"/>
    <w:semiHidden/>
    <w:locked/>
    <w:rsid w:val="00DA24F8"/>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A24F8"/>
    <w:rPr>
      <w:b/>
      <w:bCs/>
      <w:sz w:val="20"/>
      <w:szCs w:val="20"/>
    </w:rPr>
  </w:style>
  <w:style w:type="character" w:customStyle="1" w:styleId="CommentSubjectChar">
    <w:name w:val="Comment Subject Char"/>
    <w:basedOn w:val="CommentTextChar"/>
    <w:link w:val="CommentSubject"/>
    <w:uiPriority w:val="99"/>
    <w:semiHidden/>
    <w:locked/>
    <w:rsid w:val="00DA24F8"/>
    <w:rPr>
      <w:b/>
      <w:bCs/>
    </w:rPr>
  </w:style>
  <w:style w:type="paragraph" w:customStyle="1" w:styleId="Default">
    <w:name w:val="Default"/>
    <w:uiPriority w:val="99"/>
    <w:rsid w:val="00212ECA"/>
    <w:pPr>
      <w:widowControl w:val="0"/>
      <w:autoSpaceDE w:val="0"/>
      <w:autoSpaceDN w:val="0"/>
      <w:adjustRightInd w:val="0"/>
    </w:pPr>
    <w:rPr>
      <w:rFonts w:ascii="Times New Roman" w:eastAsia="Times New Roman" w:hAnsi="Times New Roman"/>
      <w:color w:val="000000"/>
      <w:sz w:val="24"/>
      <w:szCs w:val="24"/>
    </w:rPr>
  </w:style>
  <w:style w:type="paragraph" w:customStyle="1" w:styleId="Sansinterligne1">
    <w:name w:val="Sans interligne1"/>
    <w:uiPriority w:val="99"/>
    <w:rsid w:val="00EE1254"/>
    <w:rPr>
      <w:rFonts w:ascii="Arial" w:eastAsia="Times New Roman" w:hAnsi="Arial" w:cs="Arial"/>
    </w:rPr>
  </w:style>
  <w:style w:type="paragraph" w:styleId="ListParagraph">
    <w:name w:val="List Paragraph"/>
    <w:basedOn w:val="Normal"/>
    <w:uiPriority w:val="99"/>
    <w:qFormat/>
    <w:rsid w:val="007E094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812</Words>
  <Characters>4634</Characters>
  <Application>Microsoft Office Outlook</Application>
  <DocSecurity>0</DocSecurity>
  <Lines>0</Lines>
  <Paragraphs>0</Paragraphs>
  <ScaleCrop>false</ScaleCrop>
  <Company>CABASE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ISPCP Constituency </dc:title>
  <dc:subject/>
  <dc:creator>Ken Bour</dc:creator>
  <cp:keywords/>
  <dc:description/>
  <cp:lastModifiedBy>Antonio Harris</cp:lastModifiedBy>
  <cp:revision>5</cp:revision>
  <cp:lastPrinted>2013-03-11T16:16:00Z</cp:lastPrinted>
  <dcterms:created xsi:type="dcterms:W3CDTF">2013-03-11T16:34:00Z</dcterms:created>
  <dcterms:modified xsi:type="dcterms:W3CDTF">2013-03-14T22:57:00Z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226712290</vt:i4>
  </property>
  <property fmtid="{D5CDD505-2E9C-101B-9397-08002B2CF9AE}" pid="3" name="_EmailSubject">
    <vt:lpwstr>ISPCP</vt:lpwstr>
  </property>
  <property fmtid="{D5CDD505-2E9C-101B-9397-08002B2CF9AE}" pid="4" name="_AuthorEmail">
    <vt:lpwstr>alain.bidron@orange.com</vt:lpwstr>
  </property>
  <property fmtid="{D5CDD505-2E9C-101B-9397-08002B2CF9AE}" pid="5" name="_AuthorEmailDisplayName">
    <vt:lpwstr>BIDRON Alain OLNC/NAD</vt:lpwstr>
  </property>
  <property fmtid="{D5CDD505-2E9C-101B-9397-08002B2CF9AE}" pid="6" name="_ReviewingToolsShownOnce">
    <vt:lpwstr/>
  </property>
</Properties>
</file>